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97" w:rsidRPr="007403B1" w:rsidRDefault="00A41D97" w:rsidP="00CA453F">
      <w:pPr>
        <w:spacing w:after="0" w:line="360" w:lineRule="auto"/>
        <w:ind w:firstLine="708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ՀԱՇՎԵՏՎՈՒԹՅՈՒՆ</w:t>
      </w:r>
    </w:p>
    <w:p w:rsidR="00A41D97" w:rsidRPr="007403B1" w:rsidRDefault="00A41D97" w:rsidP="00CA453F">
      <w:pPr>
        <w:spacing w:after="0"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արդարադատության </w:t>
      </w:r>
      <w:r w:rsidR="0059539F">
        <w:rPr>
          <w:rFonts w:ascii="GHEA Grapalat" w:hAnsi="GHEA Grapalat" w:cs="Sylfaen"/>
          <w:b/>
          <w:noProof/>
          <w:sz w:val="24"/>
          <w:szCs w:val="24"/>
          <w:lang w:val="hy-AM"/>
        </w:rPr>
        <w:t>նախար</w:t>
      </w:r>
      <w:r w:rsidR="00B91A4F">
        <w:rPr>
          <w:rFonts w:ascii="GHEA Grapalat" w:hAnsi="GHEA Grapalat" w:cs="Sylfaen"/>
          <w:b/>
          <w:noProof/>
          <w:sz w:val="24"/>
          <w:szCs w:val="24"/>
          <w:lang w:val="hy-AM"/>
        </w:rPr>
        <w:t>ար</w:t>
      </w:r>
      <w:r w:rsidR="0059539F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ի տեղակալ Տիգրան Դադունցին և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Իրավական փոխօգնության վարչության պետ Նելլի Ավետիսյանին 202</w:t>
      </w:r>
      <w:r w:rsidR="000F57AB">
        <w:rPr>
          <w:rFonts w:ascii="GHEA Grapalat" w:hAnsi="GHEA Grapalat" w:cs="Sylfaen"/>
          <w:b/>
          <w:noProof/>
          <w:sz w:val="24"/>
          <w:szCs w:val="24"/>
          <w:lang w:val="hy-AM"/>
        </w:rPr>
        <w:t>5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թ. 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>սեպտեմբերի 17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-ից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մինչև 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>սեպտեմբերի 20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-ը </w:t>
      </w:r>
      <w:r w:rsidR="0028245F">
        <w:rPr>
          <w:rFonts w:ascii="GHEA Grapalat" w:hAnsi="GHEA Grapalat" w:cs="Sylfaen"/>
          <w:b/>
          <w:noProof/>
          <w:sz w:val="24"/>
          <w:szCs w:val="24"/>
          <w:lang w:val="hy-AM"/>
        </w:rPr>
        <w:t>Վալետ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ա 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(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Մալթայի 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Հանրապետություն)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արդյունքների վերաբերյալ</w:t>
      </w:r>
    </w:p>
    <w:p w:rsidR="00A41D97" w:rsidRDefault="00A41D97" w:rsidP="00CA453F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6E3552" w:rsidRPr="00C23659" w:rsidRDefault="006E3552" w:rsidP="00CA453F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28245F" w:rsidRDefault="00A41D97" w:rsidP="00CA453F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Գործուղված 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>անձինք՝</w:t>
      </w:r>
      <w:r w:rsidR="00317EA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28245F" w:rsidRDefault="00317EA4" w:rsidP="00CA453F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28245F">
        <w:rPr>
          <w:rFonts w:ascii="GHEA Grapalat" w:hAnsi="GHEA Grapalat" w:cs="Sylfaen"/>
          <w:b/>
          <w:noProof/>
          <w:sz w:val="24"/>
          <w:szCs w:val="24"/>
          <w:lang w:val="hy-AM"/>
        </w:rPr>
        <w:t>Տիգրան Դադունց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- </w:t>
      </w:r>
      <w:r w:rsidR="00A41D97" w:rsidRPr="007403B1">
        <w:rPr>
          <w:rFonts w:ascii="GHEA Grapalat" w:hAnsi="GHEA Grapalat"/>
          <w:noProof/>
          <w:sz w:val="24"/>
          <w:szCs w:val="24"/>
          <w:lang w:val="hy-AM"/>
        </w:rPr>
        <w:t xml:space="preserve">ՀՀ արդարադատության </w:t>
      </w:r>
      <w:r>
        <w:rPr>
          <w:rFonts w:ascii="GHEA Grapalat" w:hAnsi="GHEA Grapalat"/>
          <w:noProof/>
          <w:sz w:val="24"/>
          <w:szCs w:val="24"/>
          <w:lang w:val="hy-AM"/>
        </w:rPr>
        <w:t>նախարարի տեղակալ</w:t>
      </w:r>
      <w:r w:rsidR="0028245F">
        <w:rPr>
          <w:rFonts w:ascii="GHEA Grapalat" w:hAnsi="GHEA Grapalat"/>
          <w:noProof/>
          <w:sz w:val="24"/>
          <w:szCs w:val="24"/>
          <w:lang w:val="hy-AM"/>
        </w:rPr>
        <w:t>: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A41D97" w:rsidRPr="00317EA4" w:rsidRDefault="00317EA4" w:rsidP="00CA453F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8245F">
        <w:rPr>
          <w:rFonts w:ascii="GHEA Grapalat" w:hAnsi="GHEA Grapalat"/>
          <w:b/>
          <w:noProof/>
          <w:sz w:val="24"/>
          <w:szCs w:val="24"/>
          <w:lang w:val="hy-AM"/>
        </w:rPr>
        <w:t>Նելլի Ավետիսյան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՝ </w:t>
      </w:r>
      <w:r w:rsidRPr="00317EA4">
        <w:rPr>
          <w:rFonts w:ascii="GHEA Grapalat" w:hAnsi="GHEA Grapalat"/>
          <w:noProof/>
          <w:sz w:val="24"/>
          <w:szCs w:val="24"/>
          <w:lang w:val="hy-AM"/>
        </w:rPr>
        <w:t xml:space="preserve">ՀՀ արդարադատության </w:t>
      </w:r>
      <w:r w:rsidR="00A41D97">
        <w:rPr>
          <w:rFonts w:ascii="GHEA Grapalat" w:hAnsi="GHEA Grapalat"/>
          <w:noProof/>
          <w:sz w:val="24"/>
          <w:szCs w:val="24"/>
          <w:lang w:val="hy-AM"/>
        </w:rPr>
        <w:t>նախարարության Իրավական փոխօգնության վարչության պետ</w:t>
      </w:r>
      <w:r w:rsidR="00A41D97" w:rsidRPr="007403B1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A41D97" w:rsidRPr="007403B1" w:rsidRDefault="00A41D97" w:rsidP="00CA453F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վայրը և ժամկետները`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8245F">
        <w:rPr>
          <w:rFonts w:ascii="GHEA Grapalat" w:hAnsi="GHEA Grapalat" w:cs="Sylfaen"/>
          <w:noProof/>
          <w:sz w:val="24"/>
          <w:szCs w:val="24"/>
          <w:lang w:val="hy-AM"/>
        </w:rPr>
        <w:t>Վալետ</w:t>
      </w:r>
      <w:r w:rsidR="00317EA4">
        <w:rPr>
          <w:rFonts w:ascii="GHEA Grapalat" w:hAnsi="GHEA Grapalat" w:cs="Sylfaen"/>
          <w:noProof/>
          <w:sz w:val="24"/>
          <w:szCs w:val="24"/>
          <w:lang w:val="hy-AM"/>
        </w:rPr>
        <w:t xml:space="preserve">ա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 w:rsidR="00317EA4">
        <w:rPr>
          <w:rFonts w:ascii="GHEA Grapalat" w:hAnsi="GHEA Grapalat" w:cs="Sylfaen"/>
          <w:noProof/>
          <w:sz w:val="24"/>
          <w:szCs w:val="24"/>
          <w:lang w:val="hy-AM"/>
        </w:rPr>
        <w:t>Մալթայի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 xml:space="preserve"> Հանրապետություն</w:t>
      </w:r>
      <w:r w:rsidR="000D7C41">
        <w:rPr>
          <w:rFonts w:ascii="GHEA Grapalat" w:hAnsi="GHEA Grapalat" w:cs="Sylfaen"/>
          <w:noProof/>
          <w:sz w:val="24"/>
          <w:szCs w:val="24"/>
          <w:lang w:val="hy-AM"/>
        </w:rPr>
        <w:t>)</w:t>
      </w:r>
      <w:r w:rsidR="000F57AB">
        <w:rPr>
          <w:rFonts w:ascii="GHEA Grapalat" w:hAnsi="GHEA Grapalat" w:cs="Sylfaen"/>
          <w:noProof/>
          <w:sz w:val="24"/>
          <w:szCs w:val="24"/>
          <w:lang w:val="hy-AM"/>
        </w:rPr>
        <w:t>, 2025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 xml:space="preserve">թ. </w:t>
      </w:r>
      <w:r w:rsidR="00317EA4">
        <w:rPr>
          <w:rFonts w:ascii="GHEA Grapalat" w:hAnsi="GHEA Grapalat" w:cs="Sylfaen"/>
          <w:noProof/>
          <w:sz w:val="24"/>
          <w:szCs w:val="24"/>
          <w:lang w:val="hy-AM"/>
        </w:rPr>
        <w:t>սեպտեմբերի 17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-ից</w:t>
      </w:r>
      <w:r w:rsidR="00317EA4">
        <w:rPr>
          <w:rFonts w:ascii="GHEA Grapalat" w:hAnsi="GHEA Grapalat" w:cs="Sylfaen"/>
          <w:noProof/>
          <w:sz w:val="24"/>
          <w:szCs w:val="24"/>
          <w:lang w:val="hy-AM"/>
        </w:rPr>
        <w:t xml:space="preserve"> 20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-ը:</w:t>
      </w:r>
    </w:p>
    <w:p w:rsidR="00A41D97" w:rsidRPr="007403B1" w:rsidRDefault="00A41D97" w:rsidP="00CA453F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Հրավիրող կողմը`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Եվրոպայի խորհուրդ:</w:t>
      </w:r>
    </w:p>
    <w:p w:rsidR="00A41D97" w:rsidRPr="005B1E27" w:rsidRDefault="00A41D97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Գործուղման նպատակը` 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>Մասնակցություն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="00317EA4" w:rsidRPr="00317EA4">
        <w:rPr>
          <w:rFonts w:ascii="GHEA Grapalat" w:hAnsi="GHEA Grapalat" w:cs="Sylfaen"/>
          <w:noProof/>
          <w:sz w:val="24"/>
          <w:szCs w:val="24"/>
          <w:lang w:val="hy-AM"/>
        </w:rPr>
        <w:t>Եվրոպայի խորհրդի արդարադատության նախարարների համաժողովին</w:t>
      </w:r>
      <w:r w:rsidR="00317EA4">
        <w:rPr>
          <w:rFonts w:ascii="GHEA Grapalat" w:hAnsi="GHEA Grapalat" w:cs="Sylfaen"/>
          <w:b/>
          <w:noProof/>
          <w:sz w:val="24"/>
          <w:szCs w:val="24"/>
          <w:lang w:val="hy-AM"/>
        </w:rPr>
        <w:t>:</w:t>
      </w:r>
    </w:p>
    <w:p w:rsidR="003C3AF9" w:rsidRDefault="00A41D97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Քննարկված թեմաները` </w:t>
      </w:r>
      <w:r w:rsidR="00317EA4">
        <w:rPr>
          <w:rFonts w:ascii="GHEA Grapalat" w:hAnsi="GHEA Grapalat"/>
          <w:noProof/>
          <w:sz w:val="24"/>
          <w:szCs w:val="24"/>
          <w:lang w:val="hy-AM"/>
        </w:rPr>
        <w:t>1959 թվականից մինչև թվային դարաշրջան. Դատական համագործակցության արդիականացում թվային միջոցներով</w:t>
      </w:r>
      <w:r w:rsidR="001D45F6">
        <w:rPr>
          <w:rFonts w:ascii="GHEA Grapalat" w:hAnsi="GHEA Grapalat"/>
          <w:noProof/>
          <w:sz w:val="24"/>
          <w:szCs w:val="24"/>
          <w:lang w:val="hy-AM"/>
        </w:rPr>
        <w:t xml:space="preserve">, հանցավորության դեմ պայքարում համագործակցության ամրապնդմանն ու </w:t>
      </w:r>
      <w:r w:rsidR="001D45F6" w:rsidRPr="001D45F6">
        <w:t xml:space="preserve"> </w:t>
      </w:r>
      <w:r w:rsidR="001D45F6" w:rsidRPr="001D45F6">
        <w:rPr>
          <w:rFonts w:ascii="GHEA Grapalat" w:hAnsi="GHEA Grapalat"/>
          <w:noProof/>
          <w:sz w:val="24"/>
          <w:szCs w:val="24"/>
          <w:lang w:val="hy-AM"/>
        </w:rPr>
        <w:t>զարգացմանն ուղղված</w:t>
      </w:r>
      <w:r w:rsidR="001D45F6">
        <w:rPr>
          <w:rFonts w:ascii="GHEA Grapalat" w:hAnsi="GHEA Grapalat"/>
          <w:noProof/>
          <w:sz w:val="24"/>
          <w:szCs w:val="24"/>
          <w:lang w:val="hy-AM"/>
        </w:rPr>
        <w:t xml:space="preserve"> քայլերը:</w:t>
      </w:r>
    </w:p>
    <w:p w:rsidR="001D45F6" w:rsidRPr="001D45F6" w:rsidRDefault="001D45F6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D45F6">
        <w:rPr>
          <w:rFonts w:ascii="GHEA Grapalat" w:hAnsi="GHEA Grapalat"/>
          <w:noProof/>
          <w:sz w:val="24"/>
          <w:szCs w:val="24"/>
          <w:lang w:val="hy-AM"/>
        </w:rPr>
        <w:t>Համաժողովի առանցքում եղել է Քրեական գործերով փոխադարձ օգնության մասին Եվրոպական կոնվենցիային կից երրորդ արձանագրությունը (Վալետայի արձանագրություն), որը բացվել է ստորագրման համար:</w:t>
      </w:r>
    </w:p>
    <w:p w:rsidR="00924126" w:rsidRPr="00440BD7" w:rsidRDefault="00440BD7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Արդարադատության նախարարի տեղակալն իր ելույթում կարևորել է Վալե</w:t>
      </w:r>
      <w:r w:rsidR="0028245F">
        <w:rPr>
          <w:rFonts w:ascii="GHEA Grapalat" w:hAnsi="GHEA Grapalat"/>
          <w:noProof/>
          <w:sz w:val="24"/>
          <w:szCs w:val="24"/>
          <w:lang w:val="hy-AM"/>
        </w:rPr>
        <w:t>տ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այի արձանագրության կնքումը, քանի որ  այն </w:t>
      </w:r>
      <w:r w:rsidRPr="00440BD7">
        <w:rPr>
          <w:rFonts w:ascii="GHEA Grapalat" w:hAnsi="GHEA Grapalat"/>
          <w:noProof/>
          <w:sz w:val="24"/>
          <w:szCs w:val="24"/>
          <w:lang w:val="hy-AM"/>
        </w:rPr>
        <w:t>հանդիսանում է հավելյալ արձանագրություն «Քրեական գործերով փոխադարձ օգնության մասին» եվրոպական կոնվենցիային՝ նպատակ ունենալով արդիականացնել և ընդլայնել համագործակցությունը քրեական գործերով փոխօգնության ոլորտում</w:t>
      </w:r>
      <w:r w:rsidR="00924126">
        <w:rPr>
          <w:rFonts w:ascii="GHEA Grapalat" w:hAnsi="GHEA Grapalat"/>
          <w:noProof/>
          <w:sz w:val="24"/>
          <w:szCs w:val="24"/>
          <w:lang w:val="hy-AM"/>
        </w:rPr>
        <w:t>, հատկապես</w:t>
      </w:r>
      <w:r w:rsidR="00924126" w:rsidRPr="0092412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24126">
        <w:rPr>
          <w:rFonts w:ascii="GHEA Grapalat" w:hAnsi="GHEA Grapalat"/>
          <w:noProof/>
          <w:sz w:val="24"/>
          <w:szCs w:val="24"/>
          <w:lang w:val="hy-AM"/>
        </w:rPr>
        <w:t>ժամանակաշրջանում</w:t>
      </w:r>
      <w:r w:rsidR="00924126" w:rsidRPr="00924126">
        <w:rPr>
          <w:rFonts w:ascii="GHEA Grapalat" w:hAnsi="GHEA Grapalat"/>
          <w:noProof/>
          <w:sz w:val="24"/>
          <w:szCs w:val="24"/>
          <w:lang w:val="hy-AM"/>
        </w:rPr>
        <w:t xml:space="preserve">, երբ հանցագործությունները դարձել են ավելի միջազգային, ավելի բարդ և առավելապես հիմնված թվային գործիքների վրա։ Այս համատեքստում </w:t>
      </w:r>
      <w:r w:rsidR="000D7C41">
        <w:rPr>
          <w:rFonts w:ascii="GHEA Grapalat" w:hAnsi="GHEA Grapalat"/>
          <w:noProof/>
          <w:sz w:val="24"/>
          <w:szCs w:val="24"/>
          <w:lang w:val="hy-AM"/>
        </w:rPr>
        <w:t xml:space="preserve">անդամ պետությունները </w:t>
      </w:r>
      <w:r w:rsidR="00924126" w:rsidRPr="00924126">
        <w:rPr>
          <w:rFonts w:ascii="GHEA Grapalat" w:hAnsi="GHEA Grapalat"/>
          <w:noProof/>
          <w:sz w:val="24"/>
          <w:szCs w:val="24"/>
          <w:lang w:val="hy-AM"/>
        </w:rPr>
        <w:t xml:space="preserve">պետք է ոչ միայն </w:t>
      </w:r>
      <w:r w:rsidR="000D7C41">
        <w:rPr>
          <w:rFonts w:ascii="GHEA Grapalat" w:hAnsi="GHEA Grapalat"/>
          <w:noProof/>
          <w:sz w:val="24"/>
          <w:szCs w:val="24"/>
          <w:lang w:val="hy-AM"/>
        </w:rPr>
        <w:t xml:space="preserve">պահպանեն </w:t>
      </w:r>
      <w:r w:rsidR="00924126" w:rsidRPr="00924126">
        <w:rPr>
          <w:rFonts w:ascii="GHEA Grapalat" w:hAnsi="GHEA Grapalat"/>
          <w:noProof/>
          <w:sz w:val="24"/>
          <w:szCs w:val="24"/>
          <w:lang w:val="hy-AM"/>
        </w:rPr>
        <w:t>իրավունքի գերակայությունը, այլև լինեն տեխնոլոգիապես արձագանքող, փոխկապակցված և արդյունավետ։</w:t>
      </w:r>
      <w:r w:rsidR="006E355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D7C41">
        <w:rPr>
          <w:rFonts w:ascii="GHEA Grapalat" w:hAnsi="GHEA Grapalat"/>
          <w:noProof/>
          <w:sz w:val="24"/>
          <w:szCs w:val="24"/>
          <w:lang w:val="hy-AM"/>
        </w:rPr>
        <w:t>Ա</w:t>
      </w:r>
      <w:r w:rsidR="00924126" w:rsidRPr="00924126">
        <w:rPr>
          <w:rFonts w:ascii="GHEA Grapalat" w:hAnsi="GHEA Grapalat"/>
          <w:noProof/>
          <w:sz w:val="24"/>
          <w:szCs w:val="24"/>
          <w:lang w:val="hy-AM"/>
        </w:rPr>
        <w:t xml:space="preserve">նվտանգ և համատեղելի թվային հարթակները պետք է դառնան արդի </w:t>
      </w:r>
      <w:r w:rsidR="00924126" w:rsidRPr="00924126">
        <w:rPr>
          <w:rFonts w:ascii="GHEA Grapalat" w:hAnsi="GHEA Grapalat"/>
          <w:noProof/>
          <w:sz w:val="24"/>
          <w:szCs w:val="24"/>
          <w:lang w:val="hy-AM"/>
        </w:rPr>
        <w:lastRenderedPageBreak/>
        <w:t>համագործակցության միջուկը՝ հնարավորություն տալով տեղեկատվության, ապացույցների և որոշումների արագ և հուսալի փոխանակման։ Թվայնացումը այլևս անհրաժեշտություն է։</w:t>
      </w:r>
    </w:p>
    <w:p w:rsidR="00440BD7" w:rsidRDefault="000D7C41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Այս համատեքստում </w:t>
      </w:r>
      <w:r w:rsidR="00440BD7" w:rsidRPr="00440BD7">
        <w:rPr>
          <w:rFonts w:ascii="GHEA Grapalat" w:hAnsi="GHEA Grapalat"/>
          <w:noProof/>
          <w:sz w:val="24"/>
          <w:szCs w:val="24"/>
          <w:lang w:val="hy-AM"/>
        </w:rPr>
        <w:t>Արձանագրությունը պարունակում է մի շարք կարևոր լրացումներ և փոփոխություններ հետևյալ ուղղություններով՝ խթանել փոխադարձ օգնությունը քրեական գործերով՝ բարելավելով հաղորդակցության ուղիները, օգտագործել արդի տեխնոլոգիաներ (տեսակոնֆերանս, ձայնագրման սարքեր, հեռահաղորդակցման վերահսկում և այլն), ապահովել տվյալների պաշտպանություն և սահմանել դրանց օգտագործման կանոնները, ընդլայնել պետությունների միջև գործակցության ձևերը և պարզեցնել ընթացակարգերը:</w:t>
      </w:r>
    </w:p>
    <w:p w:rsidR="00440BD7" w:rsidRPr="00440BD7" w:rsidRDefault="00440BD7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40BD7">
        <w:rPr>
          <w:rFonts w:ascii="GHEA Grapalat" w:hAnsi="GHEA Grapalat"/>
          <w:noProof/>
          <w:sz w:val="24"/>
          <w:szCs w:val="24"/>
          <w:lang w:val="hy-AM"/>
        </w:rPr>
        <w:t xml:space="preserve">Նախարարի տեղակալն ընդգծել է, որ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Վալետայի </w:t>
      </w:r>
      <w:r w:rsidRPr="00440BD7">
        <w:rPr>
          <w:rFonts w:ascii="GHEA Grapalat" w:hAnsi="GHEA Grapalat"/>
          <w:noProof/>
          <w:sz w:val="24"/>
          <w:szCs w:val="24"/>
          <w:lang w:val="hy-AM"/>
        </w:rPr>
        <w:t xml:space="preserve">արձանագրությունը կարևոր առաջընթաց է անդրսահմանային համագործակցության ամրապնդման և նոր աստիճանի բարձրացման համար՝ նշելով, որ Արդարադատության նախարարությունը ներկայումս քննարկում է </w:t>
      </w:r>
      <w:r w:rsidR="000D7C41">
        <w:rPr>
          <w:rFonts w:ascii="GHEA Grapalat" w:hAnsi="GHEA Grapalat"/>
          <w:noProof/>
          <w:sz w:val="24"/>
          <w:szCs w:val="24"/>
          <w:lang w:val="hy-AM"/>
        </w:rPr>
        <w:t xml:space="preserve">նշյալ </w:t>
      </w:r>
      <w:r w:rsidRPr="00440BD7">
        <w:rPr>
          <w:rFonts w:ascii="GHEA Grapalat" w:hAnsi="GHEA Grapalat"/>
          <w:noProof/>
          <w:sz w:val="24"/>
          <w:szCs w:val="24"/>
          <w:lang w:val="hy-AM"/>
        </w:rPr>
        <w:t>արձանագրությանը միանալու հնարավորությունները:</w:t>
      </w:r>
    </w:p>
    <w:p w:rsidR="00440BD7" w:rsidRDefault="003145E8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Ա</w:t>
      </w:r>
      <w:r w:rsidR="00924126">
        <w:rPr>
          <w:rFonts w:ascii="GHEA Grapalat" w:hAnsi="GHEA Grapalat"/>
          <w:noProof/>
          <w:sz w:val="24"/>
          <w:szCs w:val="24"/>
          <w:lang w:val="hy-AM"/>
        </w:rPr>
        <w:t xml:space="preserve">նդրադարձ </w:t>
      </w:r>
      <w:r w:rsidR="00440BD7" w:rsidRPr="00440BD7">
        <w:rPr>
          <w:rFonts w:ascii="GHEA Grapalat" w:hAnsi="GHEA Grapalat"/>
          <w:noProof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կատարվել </w:t>
      </w:r>
      <w:bookmarkStart w:id="0" w:name="_GoBack"/>
      <w:bookmarkEnd w:id="0"/>
      <w:r w:rsidR="00440BD7" w:rsidRPr="00440BD7">
        <w:rPr>
          <w:rFonts w:ascii="GHEA Grapalat" w:hAnsi="GHEA Grapalat"/>
          <w:noProof/>
          <w:sz w:val="24"/>
          <w:szCs w:val="24"/>
          <w:lang w:val="hy-AM"/>
        </w:rPr>
        <w:t xml:space="preserve">նաև </w:t>
      </w:r>
      <w:r w:rsidR="000D7C41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Հանրապետությունում</w:t>
      </w:r>
      <w:r w:rsidR="00440BD7" w:rsidRPr="00440BD7">
        <w:rPr>
          <w:rFonts w:ascii="GHEA Grapalat" w:hAnsi="GHEA Grapalat"/>
          <w:noProof/>
          <w:sz w:val="24"/>
          <w:szCs w:val="24"/>
          <w:lang w:val="hy-AM"/>
        </w:rPr>
        <w:t xml:space="preserve"> վերջին տարիներին իրականացված արդարադատության ոլորտի բարեփոխումների, այդ թվում՝ «Քրեական վարույթներով իրավական օգնության մասին» նոր շրջանակային օրենքի ընդունման, քրեադատավարական օրենսդրության արդիականացման, ինչպես նաև դատավարական գործընթացների թվայնացման ուղղությամբ կատարվող աշխատանքների մասին: </w:t>
      </w:r>
    </w:p>
    <w:p w:rsidR="00440BD7" w:rsidRPr="00440BD7" w:rsidRDefault="00440BD7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40BD7">
        <w:rPr>
          <w:rFonts w:ascii="GHEA Grapalat" w:hAnsi="GHEA Grapalat"/>
          <w:noProof/>
          <w:sz w:val="24"/>
          <w:szCs w:val="24"/>
          <w:lang w:val="hy-AM"/>
        </w:rPr>
        <w:t>Ընդգծվել է, որ օրենսդրորեն արդեն ներդրվել են տեխնիկական միջոցների կիրառմամբ քննչական գործողությունների իրականացման,</w:t>
      </w:r>
      <w:r w:rsidR="0092412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40BD7">
        <w:rPr>
          <w:rFonts w:ascii="GHEA Grapalat" w:hAnsi="GHEA Grapalat"/>
          <w:noProof/>
          <w:sz w:val="24"/>
          <w:szCs w:val="24"/>
          <w:lang w:val="hy-AM"/>
        </w:rPr>
        <w:t>տեսակապի միջոցով վկաների հարցաքննության և դատական նիստերին մասնակցության հնարավորությունները, ինչը էական նշանակություն կարող է ունենալ նաև իրավական փոխօգնության նոր մակարդակի անցնելու հարցում:</w:t>
      </w:r>
    </w:p>
    <w:p w:rsidR="00775034" w:rsidRPr="00DF7F0D" w:rsidRDefault="000D7C41" w:rsidP="00775034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Համաժողովի</w:t>
      </w:r>
      <w:r w:rsidR="006E355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 xml:space="preserve">ընթացքում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կայացած մասնագիտական աշխատանքային քննարկումների ժամանակ 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 xml:space="preserve">մասնակից </w:t>
      </w:r>
      <w:r>
        <w:rPr>
          <w:rFonts w:ascii="GHEA Grapalat" w:hAnsi="GHEA Grapalat"/>
          <w:noProof/>
          <w:sz w:val="24"/>
          <w:szCs w:val="24"/>
          <w:lang w:val="hy-AM"/>
        </w:rPr>
        <w:t>պետությունների ներայացուցիչները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փոխանակվել են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 xml:space="preserve"> իրենց </w:t>
      </w:r>
      <w:r>
        <w:rPr>
          <w:rFonts w:ascii="GHEA Grapalat" w:hAnsi="GHEA Grapalat"/>
          <w:noProof/>
          <w:sz w:val="24"/>
          <w:szCs w:val="24"/>
          <w:lang w:val="hy-AM"/>
        </w:rPr>
        <w:t>երկրի փորձով՝ արդարադատության նախարարությունների միջև իրավական օգնության ոլորտում համագործակցության և դրա կատարելագործմանն ուղղված օրենսդրական ու գործնական քայլերով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>։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A0D96">
        <w:rPr>
          <w:rFonts w:ascii="GHEA Grapalat" w:hAnsi="GHEA Grapalat"/>
          <w:noProof/>
          <w:sz w:val="24"/>
          <w:szCs w:val="24"/>
          <w:lang w:val="hy-AM"/>
        </w:rPr>
        <w:t>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երկայացրել է </w:t>
      </w:r>
      <w:r w:rsidR="00DA0D96">
        <w:rPr>
          <w:rFonts w:ascii="GHEA Grapalat" w:hAnsi="GHEA Grapalat"/>
          <w:noProof/>
          <w:sz w:val="24"/>
          <w:szCs w:val="24"/>
          <w:lang w:val="hy-AM"/>
        </w:rPr>
        <w:t>պետությունների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 xml:space="preserve"> գործնական փորձը ինչպես դատապարտյալների փոխանցման, այնպես էլ հետախուզվող անձանց հանձնման</w:t>
      </w:r>
      <w:r w:rsidR="00F652BC">
        <w:rPr>
          <w:rFonts w:ascii="GHEA Grapalat" w:hAnsi="GHEA Grapalat"/>
          <w:noProof/>
          <w:sz w:val="24"/>
          <w:szCs w:val="24"/>
          <w:lang w:val="hy-AM"/>
        </w:rPr>
        <w:t>, ինչպես նաև իրավական օգնության</w:t>
      </w:r>
      <w:r w:rsidR="00DF7F0D" w:rsidRPr="00DF7F0D">
        <w:rPr>
          <w:rFonts w:ascii="GHEA Grapalat" w:hAnsi="GHEA Grapalat"/>
          <w:noProof/>
          <w:sz w:val="24"/>
          <w:szCs w:val="24"/>
          <w:lang w:val="hy-AM"/>
        </w:rPr>
        <w:t xml:space="preserve"> գործընթացներում։ </w:t>
      </w:r>
      <w:r w:rsidR="00775034">
        <w:rPr>
          <w:rFonts w:ascii="GHEA Grapalat" w:hAnsi="GHEA Grapalat"/>
          <w:noProof/>
          <w:sz w:val="24"/>
          <w:szCs w:val="24"/>
          <w:lang w:val="hy-AM"/>
        </w:rPr>
        <w:t xml:space="preserve">Նշվել է նաև, որ </w:t>
      </w:r>
      <w:r w:rsidR="009D76A9">
        <w:rPr>
          <w:rFonts w:ascii="GHEA Grapalat" w:hAnsi="GHEA Grapalat"/>
          <w:noProof/>
          <w:sz w:val="24"/>
          <w:szCs w:val="24"/>
          <w:lang w:val="hy-AM"/>
        </w:rPr>
        <w:t xml:space="preserve">իրավական օգնության </w:t>
      </w:r>
      <w:r w:rsidR="00A66C5F">
        <w:rPr>
          <w:rFonts w:ascii="GHEA Grapalat" w:hAnsi="GHEA Grapalat"/>
          <w:noProof/>
          <w:sz w:val="24"/>
          <w:szCs w:val="24"/>
          <w:lang w:val="hy-AM"/>
        </w:rPr>
        <w:t>ոլորտն ամբողջ ծավալով</w:t>
      </w:r>
      <w:r w:rsidR="009D76A9">
        <w:rPr>
          <w:rFonts w:ascii="GHEA Grapalat" w:hAnsi="GHEA Grapalat"/>
          <w:noProof/>
          <w:sz w:val="24"/>
          <w:szCs w:val="24"/>
          <w:lang w:val="hy-AM"/>
        </w:rPr>
        <w:t xml:space="preserve"> կարգավորող </w:t>
      </w:r>
      <w:r w:rsidR="00A66C5F">
        <w:rPr>
          <w:rFonts w:ascii="GHEA Grapalat" w:hAnsi="GHEA Grapalat"/>
          <w:noProof/>
          <w:sz w:val="24"/>
          <w:szCs w:val="24"/>
          <w:lang w:val="hy-AM"/>
        </w:rPr>
        <w:t>նոր օ</w:t>
      </w:r>
      <w:r w:rsidR="00775034">
        <w:rPr>
          <w:rFonts w:ascii="GHEA Grapalat" w:hAnsi="GHEA Grapalat"/>
          <w:noProof/>
          <w:sz w:val="24"/>
          <w:szCs w:val="24"/>
          <w:lang w:val="hy-AM"/>
        </w:rPr>
        <w:t xml:space="preserve">րենքը </w:t>
      </w:r>
      <w:r w:rsidR="00775034" w:rsidRPr="00DF7F0D">
        <w:rPr>
          <w:rFonts w:ascii="GHEA Grapalat" w:hAnsi="GHEA Grapalat"/>
          <w:noProof/>
          <w:sz w:val="24"/>
          <w:szCs w:val="24"/>
          <w:lang w:val="hy-AM"/>
        </w:rPr>
        <w:t xml:space="preserve">միտված է բարելավելու </w:t>
      </w:r>
      <w:r w:rsidR="00775034" w:rsidRPr="00DF7F0D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իրավական օգնության գործնական արդյունավետությունը և ապահովելու միջազգային </w:t>
      </w:r>
      <w:r w:rsidR="00775034">
        <w:rPr>
          <w:rFonts w:ascii="GHEA Grapalat" w:hAnsi="GHEA Grapalat"/>
          <w:noProof/>
          <w:sz w:val="24"/>
          <w:szCs w:val="24"/>
          <w:lang w:val="hy-AM"/>
        </w:rPr>
        <w:t>չափանիշներին</w:t>
      </w:r>
      <w:r w:rsidR="00775034" w:rsidRPr="00DF7F0D">
        <w:rPr>
          <w:rFonts w:ascii="GHEA Grapalat" w:hAnsi="GHEA Grapalat"/>
          <w:noProof/>
          <w:sz w:val="24"/>
          <w:szCs w:val="24"/>
          <w:lang w:val="hy-AM"/>
        </w:rPr>
        <w:t xml:space="preserve"> համապատասխան ընթացակարգեր՝ ներառյալ ապացույցների հավաքումը, հանձնման հարցերը, փոխանցման գործերը</w:t>
      </w:r>
      <w:r w:rsidR="00775034">
        <w:rPr>
          <w:rFonts w:ascii="GHEA Grapalat" w:hAnsi="GHEA Grapalat"/>
          <w:noProof/>
          <w:sz w:val="24"/>
          <w:szCs w:val="24"/>
          <w:lang w:val="hy-AM"/>
        </w:rPr>
        <w:t>՝ օտարերկրյա պետությունների կենտրոնական և իրավասու մարմինների միջև համագործակցության միջոցով</w:t>
      </w:r>
      <w:r w:rsidR="00775034" w:rsidRPr="00DF7F0D">
        <w:rPr>
          <w:rFonts w:ascii="GHEA Grapalat" w:hAnsi="GHEA Grapalat"/>
          <w:noProof/>
          <w:sz w:val="24"/>
          <w:szCs w:val="24"/>
          <w:lang w:val="hy-AM"/>
        </w:rPr>
        <w:t>։</w:t>
      </w:r>
    </w:p>
    <w:p w:rsidR="00DF7F0D" w:rsidRPr="00DF7F0D" w:rsidRDefault="00DF7F0D" w:rsidP="00CA453F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EB44FE" w:rsidRDefault="00EB44FE" w:rsidP="00CA453F">
      <w:pPr>
        <w:spacing w:line="360" w:lineRule="auto"/>
      </w:pPr>
    </w:p>
    <w:sectPr w:rsidR="00EB44FE" w:rsidSect="000D7C41">
      <w:pgSz w:w="11906" w:h="16838"/>
      <w:pgMar w:top="1134" w:right="850" w:bottom="4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3D"/>
    <w:rsid w:val="0004723D"/>
    <w:rsid w:val="000D7C41"/>
    <w:rsid w:val="000F57AB"/>
    <w:rsid w:val="001770E4"/>
    <w:rsid w:val="001D2181"/>
    <w:rsid w:val="001D45F6"/>
    <w:rsid w:val="0028245F"/>
    <w:rsid w:val="003145E8"/>
    <w:rsid w:val="00317EA4"/>
    <w:rsid w:val="003C3AF9"/>
    <w:rsid w:val="00440BD7"/>
    <w:rsid w:val="00464176"/>
    <w:rsid w:val="004828DE"/>
    <w:rsid w:val="0059539F"/>
    <w:rsid w:val="005C15C2"/>
    <w:rsid w:val="00600162"/>
    <w:rsid w:val="00632115"/>
    <w:rsid w:val="006E3552"/>
    <w:rsid w:val="006F77C9"/>
    <w:rsid w:val="00775034"/>
    <w:rsid w:val="008336BF"/>
    <w:rsid w:val="00924126"/>
    <w:rsid w:val="00926435"/>
    <w:rsid w:val="009726CF"/>
    <w:rsid w:val="009C4A0C"/>
    <w:rsid w:val="009D76A9"/>
    <w:rsid w:val="00A41D97"/>
    <w:rsid w:val="00A66C5F"/>
    <w:rsid w:val="00AA7072"/>
    <w:rsid w:val="00B91A4F"/>
    <w:rsid w:val="00B92AE9"/>
    <w:rsid w:val="00CA453F"/>
    <w:rsid w:val="00D417C4"/>
    <w:rsid w:val="00DA0D96"/>
    <w:rsid w:val="00DB231B"/>
    <w:rsid w:val="00DC2128"/>
    <w:rsid w:val="00DF7F0D"/>
    <w:rsid w:val="00EB44FE"/>
    <w:rsid w:val="00F61790"/>
    <w:rsid w:val="00F6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78D9"/>
  <w15:chartTrackingRefBased/>
  <w15:docId w15:val="{622889E2-6A6B-4035-B247-4CD41A5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97"/>
    <w:pPr>
      <w:spacing w:after="200" w:line="276" w:lineRule="auto"/>
    </w:pPr>
    <w:rPr>
      <w:rFonts w:ascii="Calibri" w:eastAsia="Calibri" w:hAnsi="Calibri" w:cs="Times New Roman"/>
      <w:lang w:val="rm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74479521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460</Words>
  <Characters>3628</Characters>
  <Application>Microsoft Office Word</Application>
  <DocSecurity>0</DocSecurity>
  <Lines>164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Avetisyan</dc:creator>
  <cp:keywords>https://mul2-moj.gov.am/tasks/1046311/oneclick?token=3c4e6f5bc2168c85d947dd8815eb9243</cp:keywords>
  <dc:description/>
  <cp:lastModifiedBy>Neli Avetisyan</cp:lastModifiedBy>
  <cp:revision>3</cp:revision>
  <dcterms:created xsi:type="dcterms:W3CDTF">2025-09-23T14:14:00Z</dcterms:created>
  <dcterms:modified xsi:type="dcterms:W3CDTF">2025-09-23T14:31:00Z</dcterms:modified>
</cp:coreProperties>
</file>