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3" w:rsidRDefault="00A95DB5" w:rsidP="00552D13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 w:rsidRPr="003A6E27">
        <w:rPr>
          <w:rFonts w:ascii="GHEA Grapalat" w:hAnsi="GHEA Grapalat"/>
          <w:sz w:val="24"/>
          <w:szCs w:val="24"/>
        </w:rPr>
        <w:t xml:space="preserve">            </w:t>
      </w:r>
      <w:proofErr w:type="spellStart"/>
      <w:r w:rsidR="00552D13">
        <w:rPr>
          <w:rFonts w:ascii="GHEA Grapalat" w:hAnsi="GHEA Grapalat"/>
          <w:sz w:val="18"/>
          <w:szCs w:val="18"/>
        </w:rPr>
        <w:t>Հավելված</w:t>
      </w:r>
      <w:proofErr w:type="spellEnd"/>
      <w:r w:rsidR="00552D13">
        <w:rPr>
          <w:rFonts w:ascii="GHEA Grapalat" w:hAnsi="GHEA Grapalat"/>
          <w:sz w:val="18"/>
          <w:szCs w:val="18"/>
        </w:rPr>
        <w:t xml:space="preserve"> N 6</w:t>
      </w:r>
    </w:p>
    <w:p w:rsidR="00552D13" w:rsidRDefault="00552D13" w:rsidP="00552D13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Հանրապետության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արդարադատության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</w:p>
    <w:p w:rsidR="00552D13" w:rsidRDefault="00552D13" w:rsidP="00552D13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</w:rPr>
        <w:t>նախարարության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 </w:t>
      </w:r>
      <w:proofErr w:type="spellStart"/>
      <w:r>
        <w:rPr>
          <w:rFonts w:ascii="GHEA Grapalat" w:hAnsi="GHEA Grapalat"/>
          <w:sz w:val="18"/>
          <w:szCs w:val="18"/>
        </w:rPr>
        <w:t>գլխավոր</w:t>
      </w:r>
      <w:proofErr w:type="spellEnd"/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քարտուղարի</w:t>
      </w:r>
      <w:proofErr w:type="spellEnd"/>
    </w:p>
    <w:p w:rsidR="00552D13" w:rsidRDefault="00552D13" w:rsidP="00552D13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18"/>
          <w:szCs w:val="18"/>
        </w:rPr>
        <w:t xml:space="preserve">2019 </w:t>
      </w:r>
      <w:proofErr w:type="spellStart"/>
      <w:r>
        <w:rPr>
          <w:rFonts w:ascii="GHEA Grapalat" w:hAnsi="GHEA Grapalat"/>
          <w:sz w:val="18"/>
          <w:szCs w:val="18"/>
        </w:rPr>
        <w:t>թվականի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սեպտեմբերի</w:t>
      </w:r>
      <w:proofErr w:type="spellEnd"/>
      <w:r>
        <w:rPr>
          <w:rFonts w:ascii="GHEA Grapalat" w:hAnsi="GHEA Grapalat"/>
          <w:sz w:val="18"/>
          <w:szCs w:val="18"/>
        </w:rPr>
        <w:t xml:space="preserve"> 12-ի N 766-Ա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552D13">
      <w:pPr>
        <w:tabs>
          <w:tab w:val="left" w:pos="567"/>
          <w:tab w:val="left" w:pos="709"/>
        </w:tabs>
        <w:spacing w:after="0"/>
        <w:ind w:firstLine="567"/>
        <w:jc w:val="right"/>
        <w:rPr>
          <w:rFonts w:ascii="GHEA Grapalat" w:hAnsi="GHEA Grapalat"/>
          <w:sz w:val="24"/>
          <w:szCs w:val="24"/>
        </w:rPr>
      </w:pP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1A336C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E00E6B" w:rsidRPr="00F82A5B">
        <w:rPr>
          <w:rFonts w:ascii="GHEA Grapalat" w:hAnsi="GHEA Grapalat"/>
          <w:b/>
          <w:sz w:val="24"/>
          <w:lang w:val="hy-AM"/>
        </w:rPr>
        <w:t xml:space="preserve">ԻՐԱՎԱԿԱՆ ԱԿՏԵՐԻ ՓՈՐՁԱՔՆՆՈՒԹՅԱՆ ԳՈՐԾԱԿԱԼՈՒԹՅԱՆ ՍԱՀՄԱՆԱԴՐԱԿԱՆ ԻՐԱՎՈՒՆՔԻ </w:t>
      </w:r>
      <w:r w:rsidR="002A51DA">
        <w:rPr>
          <w:rFonts w:ascii="GHEA Grapalat" w:hAnsi="GHEA Grapalat"/>
          <w:b/>
          <w:sz w:val="24"/>
          <w:szCs w:val="24"/>
        </w:rPr>
        <w:t>ԲԱԺՆԻ</w:t>
      </w:r>
      <w:r w:rsidR="00E00E6B">
        <w:rPr>
          <w:rFonts w:ascii="GHEA Grapalat" w:hAnsi="GHEA Grapalat"/>
          <w:b/>
          <w:sz w:val="24"/>
          <w:szCs w:val="24"/>
        </w:rPr>
        <w:t xml:space="preserve"> </w:t>
      </w:r>
      <w:r w:rsidR="00FA3B9F">
        <w:rPr>
          <w:rFonts w:ascii="GHEA Grapalat" w:hAnsi="GHEA Grapalat"/>
          <w:b/>
          <w:color w:val="000000" w:themeColor="text1"/>
          <w:sz w:val="24"/>
          <w:szCs w:val="24"/>
        </w:rPr>
        <w:t>ԱՎԱԳ ԻՐԱՎԱԲԱՆ</w:t>
      </w:r>
    </w:p>
    <w:tbl>
      <w:tblPr>
        <w:tblStyle w:val="TableGrid"/>
        <w:tblW w:w="9468" w:type="dxa"/>
        <w:tblInd w:w="250" w:type="dxa"/>
        <w:tblLook w:val="04A0"/>
      </w:tblPr>
      <w:tblGrid>
        <w:gridCol w:w="9468"/>
      </w:tblGrid>
      <w:tr w:rsidR="00A95DB5" w:rsidRPr="003A6E27" w:rsidTr="00DA71BC">
        <w:tc>
          <w:tcPr>
            <w:tcW w:w="9468" w:type="dxa"/>
          </w:tcPr>
          <w:p w:rsidR="00883147" w:rsidRPr="003A6E27" w:rsidRDefault="00A95DB5" w:rsidP="005730A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DA71BC">
        <w:tc>
          <w:tcPr>
            <w:tcW w:w="9468" w:type="dxa"/>
          </w:tcPr>
          <w:p w:rsidR="00A95DB5" w:rsidRPr="003A6E27" w:rsidRDefault="00A95DB5" w:rsidP="00DA71BC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1A336C" w:rsidRDefault="00EC5051" w:rsidP="00DA71BC">
            <w:pPr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րդարադատության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իրավական ակտերի փորձաքննության գործակալության (այսուհետ՝ Գործակալություն) </w:t>
            </w:r>
            <w:r w:rsidR="00E00E6B">
              <w:rPr>
                <w:rFonts w:ascii="GHEA Grapalat" w:hAnsi="GHEA Grapalat"/>
                <w:sz w:val="24"/>
                <w:lang w:val="hy-AM"/>
              </w:rPr>
              <w:t xml:space="preserve">սահմանադրական իրավունքի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բաժնի (այսուհետ՝ Բաժին)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այսուհետ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BF11E4" w:rsidRPr="00773340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BF11E4" w:rsidRPr="00773340">
              <w:rPr>
                <w:rFonts w:ascii="GHEA Grapalat" w:hAnsi="GHEA Grapalat"/>
                <w:sz w:val="24"/>
                <w:szCs w:val="24"/>
              </w:rPr>
              <w:t>՝ 12-</w:t>
            </w:r>
            <w:r w:rsidR="00E00E6B">
              <w:rPr>
                <w:rFonts w:ascii="GHEA Grapalat" w:hAnsi="GHEA Grapalat"/>
                <w:sz w:val="24"/>
                <w:szCs w:val="24"/>
              </w:rPr>
              <w:t>34.4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-Մ</w:t>
            </w:r>
            <w:r w:rsidR="00DA71BC">
              <w:rPr>
                <w:rFonts w:ascii="GHEA Grapalat" w:hAnsi="GHEA Grapalat"/>
                <w:sz w:val="24"/>
                <w:szCs w:val="24"/>
              </w:rPr>
              <w:t>3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-1)</w:t>
            </w:r>
            <w:r w:rsidR="00BF11E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69591C" w:rsidRDefault="00FA3B9F" w:rsidP="00DA71BC">
            <w:pPr>
              <w:pStyle w:val="ListParagraph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իրավաբանը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E42FBF" w:rsidRPr="003A6E27" w:rsidRDefault="00FA3B9F" w:rsidP="00DA71BC">
            <w:pPr>
              <w:pStyle w:val="ListParagraph"/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րավաբանի</w:t>
            </w:r>
            <w:proofErr w:type="spellEnd"/>
            <w:r w:rsidR="00A6692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883147" w:rsidRPr="00773340" w:rsidRDefault="00E42FBF" w:rsidP="00EC5051">
            <w:p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EC5051" w:rsidTr="00DA71BC">
        <w:tc>
          <w:tcPr>
            <w:tcW w:w="9468" w:type="dxa"/>
          </w:tcPr>
          <w:p w:rsidR="00E42FBF" w:rsidRPr="003A6E27" w:rsidRDefault="00E42FBF" w:rsidP="00DA71B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:rsidR="00E42FBF" w:rsidRDefault="00E42FBF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2.1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«Կառավարության կառուցվածքի և գործունեության» մասին օրենքով հաստատված հավելվածի 3-րդ կետով նախատեսված իրավական փորձաքննության ոլորտում /այսուհետ՝ Իրավական փորձաքննության ոլորտ/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նախագծերի`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պետական փորձագիտական եզրակացության տրամադր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նախագծերի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կարծիքի և առաջարկությունների ներկայացման աշխատանքները.</w:t>
            </w:r>
          </w:p>
          <w:p w:rsidR="0012410D" w:rsidRDefault="00161824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դիրքորոշման վերաբերյալ առաջարկությունների տրամադրման աշխատանքներ</w:t>
            </w:r>
            <w:proofErr w:type="spellStart"/>
            <w:r w:rsidR="00FC1C7F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ակտերի՝ Սահմանադրությանը, օրենքներին և այլ իրավական ակտերին համապատասխանության վերաբերյալ պետական իրավական փորձաքննության և համապատասխան առաջարկություններ ներկայացնելու աշխատանքները.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12410D" w:rsidRDefault="006C19C5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մասնակցում</w:t>
            </w:r>
            <w:proofErr w:type="spellEnd"/>
            <w:r w:rsidR="0012410D"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 պարզաբանումների</w:t>
            </w:r>
            <w:r w:rsidR="0012410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2410D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410D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կառավարման համակարգի մարմինների </w:t>
            </w:r>
            <w:r w:rsidR="0012410D">
              <w:rPr>
                <w:rFonts w:ascii="GHEA Grapalat" w:hAnsi="GHEA Grapalat"/>
                <w:sz w:val="24"/>
                <w:lang w:val="hy-AM"/>
              </w:rPr>
              <w:t>գ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րությունների վերաբերյալ պարզաբանումների, իրավական դիրքորոշումների և առաջարկությունների 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տրամադրման աշխատանքներ</w:t>
            </w:r>
            <w:proofErr w:type="spellStart"/>
            <w:r w:rsidR="00D020DA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00E6B" w:rsidRPr="006823DD" w:rsidRDefault="00E00E6B" w:rsidP="00E00E6B">
            <w:pPr>
              <w:pStyle w:val="ListParagraph"/>
              <w:tabs>
                <w:tab w:val="left" w:pos="240"/>
                <w:tab w:val="left" w:pos="390"/>
                <w:tab w:val="left" w:pos="567"/>
                <w:tab w:val="left" w:pos="1026"/>
              </w:tabs>
              <w:spacing w:line="276" w:lineRule="auto"/>
              <w:ind w:left="601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FA5FE1" w:rsidRPr="0036310E" w:rsidRDefault="00FA5FE1" w:rsidP="00DA71BC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36310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րավական փորձաքննության ոլորտում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կարծիքի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ամբողջականությունը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օրենքներ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այլ իրավական ակտեր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վերլուծել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բովանդակության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այլընտրանքային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համաձայնեցնել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շահագրգիռ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ստորաբաժանումների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ստանալ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դիրքորոշումը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Գործակալության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համաձայնությամբ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քննարկումներ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դարձ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փորձագետների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proofErr w:type="gram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դիրքորոշման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Սահմանադրությանը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առավարության հանձնարարականների համաձայն իրավական բնույթի պարզաբանումների, ինչպես նաև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ետական կառավարման համակարգի մարմինների </w:t>
            </w:r>
            <w:r>
              <w:rPr>
                <w:rFonts w:ascii="GHEA Grapalat" w:hAnsi="GHEA Grapalat"/>
                <w:sz w:val="24"/>
                <w:lang w:val="hy-AM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րությունների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պարզաբանումների,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 դիրքորոշումների և առաջարկությունների ներկայացման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գործառույթների շրջանակներում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ուսումնասիրել ոլորտը կարգավորող իրավական ակտերը, համաձայնեցնել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շահագրգիռ ստորաբաժանումների հետ,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պետի համաձայնությամբ կազմակերպել աշխատանքային քննարկումներ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մարմիններից, պաշտոնատար անձանցից ստանալ Բաժնի առջև դրված գործառույթների և խնդիրների իրականացման հետ կապված անհրաժեշտ տեղեկատվություն և նյութեր, ինչպես նաև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ստորաբաժանումներից պահանջել իրավական ակտերի նախագծերի վերաբերյալ դիրքորոշումներ, հիմնավորումներ, կարծիքներ և այլ անհրաժեշտ տեղեկատվություն</w:t>
            </w:r>
            <w:r w:rsidR="00F72E6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D74CE" w:rsidRDefault="009D74CE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FA5FE1" w:rsidRDefault="00FA5FE1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83E1C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Պարտականությունները</w:t>
            </w:r>
            <w:proofErr w:type="spellEnd"/>
            <w:r w:rsidRPr="00C83E1C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՝ </w:t>
            </w:r>
          </w:p>
          <w:p w:rsidR="009D74CE" w:rsidRPr="00C83E1C" w:rsidRDefault="009D74CE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741C00" w:rsidRDefault="00741C00" w:rsidP="009D74C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փորձագիտակլան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եզրակացություններ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նորմատիվ իրավական ակտերի նախագծերի,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տեղական ինքնակառավարման մարմինների ենթաօրենսդրական նորմատիվ իրավական ակտերի նախագծերի՝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Սահմանադրությանը, օրենքներին և այլ իրավական ակտերին համապատասխանության վերաբերյալ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կարծիք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ներկայացնել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համապատասխան առաջարկություններ.</w:t>
            </w:r>
          </w:p>
          <w:p w:rsidR="00741C00" w:rsidRDefault="00741C00" w:rsidP="009D74C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Սահմանադրական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դիրքորոշման վերաբերյալ առաջարկություններ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E95AEB" w:rsidRPr="00E00E6B" w:rsidRDefault="007D29AE" w:rsidP="009D74CE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  <w:tab w:val="left" w:pos="426"/>
                <w:tab w:val="left" w:pos="851"/>
                <w:tab w:val="left" w:pos="994"/>
              </w:tabs>
              <w:spacing w:line="276" w:lineRule="auto"/>
              <w:ind w:left="0" w:right="9" w:firstLine="601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741C00"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օրենքով սահմանված կարգով և ժամկետներում</w:t>
            </w:r>
            <w:r w:rsidR="00741C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</w:t>
            </w:r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</w:t>
            </w:r>
            <w:r w:rsidR="00741C00">
              <w:rPr>
                <w:rFonts w:ascii="GHEA Grapalat" w:hAnsi="GHEA Grapalat"/>
                <w:sz w:val="24"/>
                <w:szCs w:val="24"/>
              </w:rPr>
              <w:t>,</w:t>
            </w:r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C0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կառավարման համակարգի մարմինների կողմից ներկայացված գրությունների վերաբերյալ պարզաբանումներ, իրավական դիրքորոշումներ և առաջարկություններ</w:t>
            </w:r>
            <w:r w:rsidR="00741C0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E48E5" w:rsidRPr="003A6E27" w:rsidTr="00DA71BC">
        <w:tc>
          <w:tcPr>
            <w:tcW w:w="9468" w:type="dxa"/>
          </w:tcPr>
          <w:p w:rsidR="002E48E5" w:rsidRDefault="002E48E5" w:rsidP="00DA71B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3A6E27" w:rsidRDefault="00FA5FE1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tbl>
            <w:tblPr>
              <w:tblStyle w:val="TableGrid"/>
              <w:tblW w:w="0" w:type="auto"/>
              <w:tblLook w:val="04A0"/>
            </w:tblPr>
            <w:tblGrid>
              <w:gridCol w:w="2391"/>
              <w:gridCol w:w="2394"/>
              <w:gridCol w:w="4457"/>
            </w:tblGrid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</w:tbl>
          <w:p w:rsidR="00EC5051" w:rsidRDefault="00EC5051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Default="00996A62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781FB4" w:rsidRPr="00526CCE" w:rsidRDefault="00781FB4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526CC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ծառայության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առնվազն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DA71BC"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="00104324"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990142"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մասնագիտական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կամ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="003025FF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իրավունքի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բնագավառում</w:t>
            </w:r>
            <w:r w:rsidR="00104324" w:rsidRPr="00526CCE">
              <w:rPr>
                <w:rFonts w:ascii="GHEA Grapalat" w:eastAsia="Calibri" w:hAnsi="GHEA Grapalat" w:cs="ArTarumianTimes"/>
                <w:sz w:val="24"/>
                <w:szCs w:val="24"/>
              </w:rPr>
              <w:t>՝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</w:t>
            </w:r>
            <w:r w:rsidR="00990142"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="00DA71BC" w:rsidRPr="00526CCE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526CC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526CC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։</w:t>
            </w:r>
          </w:p>
          <w:p w:rsidR="00781FB4" w:rsidRPr="003A6E27" w:rsidRDefault="00781FB4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526CCE" w:rsidRPr="00526CCE" w:rsidRDefault="00526CCE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9A05EC" w:rsidRPr="00DA71BC" w:rsidRDefault="00DA71B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9A05EC"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վերլուծություն</w:t>
            </w:r>
            <w:proofErr w:type="spellEnd"/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  <w:proofErr w:type="spellEnd"/>
          </w:p>
          <w:p w:rsidR="003A6E27" w:rsidRPr="003A6E27" w:rsidRDefault="003A6E27" w:rsidP="00DA71BC">
            <w:pPr>
              <w:tabs>
                <w:tab w:val="left" w:pos="24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Pr="003A6E27" w:rsidRDefault="00781FB4" w:rsidP="00DA71BC">
            <w:pPr>
              <w:pStyle w:val="ListParagraph"/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E00E6B" w:rsidRDefault="00E00E6B" w:rsidP="00FE4CFA">
            <w:pPr>
              <w:pStyle w:val="ListParagraph"/>
              <w:numPr>
                <w:ilvl w:val="0"/>
                <w:numId w:val="20"/>
              </w:numPr>
              <w:tabs>
                <w:tab w:val="left" w:pos="920"/>
              </w:tabs>
              <w:spacing w:after="160" w:line="276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  <w:p w:rsidR="00E00E6B" w:rsidRDefault="00E00E6B" w:rsidP="00FE4CFA">
            <w:pPr>
              <w:pStyle w:val="ListParagraph"/>
              <w:numPr>
                <w:ilvl w:val="0"/>
                <w:numId w:val="20"/>
              </w:numPr>
              <w:tabs>
                <w:tab w:val="left" w:pos="920"/>
              </w:tabs>
              <w:spacing w:after="160" w:line="276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883147" w:rsidRPr="003A6E27" w:rsidRDefault="00E00E6B" w:rsidP="00FE4CFA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920"/>
              </w:tabs>
              <w:spacing w:line="276" w:lineRule="auto"/>
              <w:ind w:left="34" w:firstLine="56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աստաթղթերի նախապատրա</w:t>
            </w:r>
            <w:r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տում</w:t>
            </w:r>
          </w:p>
        </w:tc>
      </w:tr>
      <w:tr w:rsidR="003A6E27" w:rsidRPr="003A6E27" w:rsidTr="00DA71BC">
        <w:tc>
          <w:tcPr>
            <w:tcW w:w="9468" w:type="dxa"/>
          </w:tcPr>
          <w:p w:rsidR="003A6E27" w:rsidRPr="006823DD" w:rsidRDefault="004A5FE1" w:rsidP="006823D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Կազմակերպակ</w:t>
            </w:r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proofErr w:type="spellEnd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E00E6B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Պատասխանատու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BB3D64" w:rsidRDefault="00BB3D64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C93F39" w:rsidRDefault="00C93F39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Ունի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ազդեցություն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ապահովման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E00E6B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Իր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իրավասության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շփվում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որպես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հետ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ներսում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մարմնից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դուրս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ձևավորված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խմբերում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BE4277" w:rsidRPr="006823DD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Իր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ներկայացնում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տարբերակներ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առջև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դրված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լուծմանը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A95DB5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77334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89"/>
    <w:multiLevelType w:val="hybridMultilevel"/>
    <w:tmpl w:val="C40ECB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4A2288"/>
    <w:multiLevelType w:val="hybridMultilevel"/>
    <w:tmpl w:val="0DC209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AB5867"/>
    <w:multiLevelType w:val="hybridMultilevel"/>
    <w:tmpl w:val="62B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B5A39"/>
    <w:multiLevelType w:val="hybridMultilevel"/>
    <w:tmpl w:val="2478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11692"/>
    <w:multiLevelType w:val="hybridMultilevel"/>
    <w:tmpl w:val="224C2A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777B42"/>
    <w:multiLevelType w:val="hybridMultilevel"/>
    <w:tmpl w:val="EE0833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7F5357"/>
    <w:multiLevelType w:val="hybridMultilevel"/>
    <w:tmpl w:val="118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B1C5F"/>
    <w:multiLevelType w:val="hybridMultilevel"/>
    <w:tmpl w:val="412C9DE6"/>
    <w:lvl w:ilvl="0" w:tplc="0409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5213B"/>
    <w:multiLevelType w:val="hybridMultilevel"/>
    <w:tmpl w:val="FA52A81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37EE7"/>
    <w:multiLevelType w:val="hybridMultilevel"/>
    <w:tmpl w:val="6ADCD6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B54678"/>
    <w:multiLevelType w:val="hybridMultilevel"/>
    <w:tmpl w:val="41363D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FB480E"/>
    <w:multiLevelType w:val="hybridMultilevel"/>
    <w:tmpl w:val="FC76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044A"/>
    <w:multiLevelType w:val="hybridMultilevel"/>
    <w:tmpl w:val="7E28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343B5"/>
    <w:multiLevelType w:val="hybridMultilevel"/>
    <w:tmpl w:val="68168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3"/>
  </w:num>
  <w:num w:numId="5">
    <w:abstractNumId w:val="12"/>
  </w:num>
  <w:num w:numId="6">
    <w:abstractNumId w:val="24"/>
  </w:num>
  <w:num w:numId="7">
    <w:abstractNumId w:val="21"/>
  </w:num>
  <w:num w:numId="8">
    <w:abstractNumId w:val="15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16"/>
  </w:num>
  <w:num w:numId="14">
    <w:abstractNumId w:val="4"/>
  </w:num>
  <w:num w:numId="15">
    <w:abstractNumId w:val="19"/>
  </w:num>
  <w:num w:numId="16">
    <w:abstractNumId w:val="25"/>
  </w:num>
  <w:num w:numId="17">
    <w:abstractNumId w:val="1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7"/>
  </w:num>
  <w:num w:numId="22">
    <w:abstractNumId w:val="18"/>
  </w:num>
  <w:num w:numId="23">
    <w:abstractNumId w:val="5"/>
  </w:num>
  <w:num w:numId="24">
    <w:abstractNumId w:val="8"/>
  </w:num>
  <w:num w:numId="25">
    <w:abstractNumId w:val="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0B09"/>
    <w:rsid w:val="000150CF"/>
    <w:rsid w:val="00023900"/>
    <w:rsid w:val="000256E8"/>
    <w:rsid w:val="00026CBA"/>
    <w:rsid w:val="0004017A"/>
    <w:rsid w:val="000C1D4D"/>
    <w:rsid w:val="000E51DB"/>
    <w:rsid w:val="00104324"/>
    <w:rsid w:val="0012410D"/>
    <w:rsid w:val="00161824"/>
    <w:rsid w:val="0017335A"/>
    <w:rsid w:val="001A336C"/>
    <w:rsid w:val="001B4FC8"/>
    <w:rsid w:val="001E4755"/>
    <w:rsid w:val="00204615"/>
    <w:rsid w:val="00227D19"/>
    <w:rsid w:val="00276AB6"/>
    <w:rsid w:val="002A3D4E"/>
    <w:rsid w:val="002A51DA"/>
    <w:rsid w:val="002B5C82"/>
    <w:rsid w:val="002E48E5"/>
    <w:rsid w:val="003025FF"/>
    <w:rsid w:val="00307D98"/>
    <w:rsid w:val="00332398"/>
    <w:rsid w:val="00345DA6"/>
    <w:rsid w:val="0036310E"/>
    <w:rsid w:val="00393E47"/>
    <w:rsid w:val="003A36CB"/>
    <w:rsid w:val="003A6E27"/>
    <w:rsid w:val="004445CC"/>
    <w:rsid w:val="0049187F"/>
    <w:rsid w:val="004A3660"/>
    <w:rsid w:val="004A5FE1"/>
    <w:rsid w:val="004B7066"/>
    <w:rsid w:val="004C3373"/>
    <w:rsid w:val="005054C3"/>
    <w:rsid w:val="00526CCE"/>
    <w:rsid w:val="00534D1E"/>
    <w:rsid w:val="00552D13"/>
    <w:rsid w:val="005730A6"/>
    <w:rsid w:val="0058204F"/>
    <w:rsid w:val="005A092D"/>
    <w:rsid w:val="00610B22"/>
    <w:rsid w:val="0063088E"/>
    <w:rsid w:val="00634750"/>
    <w:rsid w:val="00662AC9"/>
    <w:rsid w:val="00680AFF"/>
    <w:rsid w:val="006823DD"/>
    <w:rsid w:val="00682C5A"/>
    <w:rsid w:val="006904E4"/>
    <w:rsid w:val="0069591C"/>
    <w:rsid w:val="006C19C5"/>
    <w:rsid w:val="006D5A49"/>
    <w:rsid w:val="006F6075"/>
    <w:rsid w:val="007245DD"/>
    <w:rsid w:val="007312CE"/>
    <w:rsid w:val="007328F9"/>
    <w:rsid w:val="00741C00"/>
    <w:rsid w:val="00773340"/>
    <w:rsid w:val="007751F1"/>
    <w:rsid w:val="00781FB4"/>
    <w:rsid w:val="007A5837"/>
    <w:rsid w:val="007B519A"/>
    <w:rsid w:val="007D22C5"/>
    <w:rsid w:val="007D29AE"/>
    <w:rsid w:val="007D6483"/>
    <w:rsid w:val="00855EC1"/>
    <w:rsid w:val="008711BD"/>
    <w:rsid w:val="00883147"/>
    <w:rsid w:val="00890294"/>
    <w:rsid w:val="008B6532"/>
    <w:rsid w:val="008F40F4"/>
    <w:rsid w:val="00903C78"/>
    <w:rsid w:val="009048B5"/>
    <w:rsid w:val="009211D4"/>
    <w:rsid w:val="00937D7F"/>
    <w:rsid w:val="0094643E"/>
    <w:rsid w:val="00960794"/>
    <w:rsid w:val="009873D8"/>
    <w:rsid w:val="00990142"/>
    <w:rsid w:val="00996A62"/>
    <w:rsid w:val="009A05EC"/>
    <w:rsid w:val="009C3236"/>
    <w:rsid w:val="009D74CE"/>
    <w:rsid w:val="00A11D3C"/>
    <w:rsid w:val="00A41DD8"/>
    <w:rsid w:val="00A66928"/>
    <w:rsid w:val="00A95DB5"/>
    <w:rsid w:val="00AA60D1"/>
    <w:rsid w:val="00AB4A51"/>
    <w:rsid w:val="00AC2D94"/>
    <w:rsid w:val="00AC7BC8"/>
    <w:rsid w:val="00AE0350"/>
    <w:rsid w:val="00AE5DDB"/>
    <w:rsid w:val="00AF32A5"/>
    <w:rsid w:val="00B03901"/>
    <w:rsid w:val="00B136CF"/>
    <w:rsid w:val="00B54575"/>
    <w:rsid w:val="00B61E75"/>
    <w:rsid w:val="00B62D8A"/>
    <w:rsid w:val="00BB3D64"/>
    <w:rsid w:val="00BC1313"/>
    <w:rsid w:val="00BD03BB"/>
    <w:rsid w:val="00BE4277"/>
    <w:rsid w:val="00BF11E4"/>
    <w:rsid w:val="00C10F0C"/>
    <w:rsid w:val="00C21582"/>
    <w:rsid w:val="00C4746B"/>
    <w:rsid w:val="00C53AE8"/>
    <w:rsid w:val="00C56CA3"/>
    <w:rsid w:val="00C83E1C"/>
    <w:rsid w:val="00C92F9F"/>
    <w:rsid w:val="00C93F39"/>
    <w:rsid w:val="00C97F36"/>
    <w:rsid w:val="00D020DA"/>
    <w:rsid w:val="00D26783"/>
    <w:rsid w:val="00D407AC"/>
    <w:rsid w:val="00D77283"/>
    <w:rsid w:val="00D87AFD"/>
    <w:rsid w:val="00DA71BC"/>
    <w:rsid w:val="00DC5A55"/>
    <w:rsid w:val="00E00E6B"/>
    <w:rsid w:val="00E32EF5"/>
    <w:rsid w:val="00E36FFF"/>
    <w:rsid w:val="00E42FBF"/>
    <w:rsid w:val="00E729F4"/>
    <w:rsid w:val="00E82477"/>
    <w:rsid w:val="00E95AEB"/>
    <w:rsid w:val="00EB6F80"/>
    <w:rsid w:val="00EC5051"/>
    <w:rsid w:val="00F41AF8"/>
    <w:rsid w:val="00F523B4"/>
    <w:rsid w:val="00F72E6A"/>
    <w:rsid w:val="00FA3B9F"/>
    <w:rsid w:val="00FA5FE1"/>
    <w:rsid w:val="00FC1C7F"/>
    <w:rsid w:val="00FD1DD3"/>
    <w:rsid w:val="00FE4CFA"/>
    <w:rsid w:val="00FF1324"/>
    <w:rsid w:val="00FF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C30BB-A326-4652-95A8-7A12D908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96</cp:revision>
  <cp:lastPrinted>2019-04-19T06:01:00Z</cp:lastPrinted>
  <dcterms:created xsi:type="dcterms:W3CDTF">2019-03-13T10:50:00Z</dcterms:created>
  <dcterms:modified xsi:type="dcterms:W3CDTF">2020-07-10T11:30:00Z</dcterms:modified>
</cp:coreProperties>
</file>